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B16D2F" w14:textId="695D8BB3" w:rsidR="00F74050" w:rsidRDefault="00F74050" w:rsidP="00F74050">
      <w:pPr>
        <w:spacing w:line="360" w:lineRule="auto"/>
        <w:ind w:left="5760"/>
        <w:rPr>
          <w:rFonts w:ascii="Cambria" w:hAnsi="Cambria" w:cs="Times New Roman"/>
          <w:b/>
          <w:color w:val="365929"/>
          <w:szCs w:val="24"/>
        </w:rPr>
      </w:pPr>
      <w:r>
        <w:rPr>
          <w:rFonts w:ascii="Cambria" w:hAnsi="Cambria" w:cs="Times New Roman"/>
          <w:b/>
          <w:color w:val="385623" w:themeColor="accent6" w:themeShade="80"/>
          <w:szCs w:val="24"/>
        </w:rPr>
        <w:t>14</w:t>
      </w:r>
      <w:r w:rsidRPr="002B5867">
        <w:rPr>
          <w:rFonts w:ascii="Cambria" w:hAnsi="Cambria" w:cs="Times New Roman"/>
          <w:b/>
          <w:color w:val="385623" w:themeColor="accent6" w:themeShade="80"/>
          <w:szCs w:val="24"/>
          <w:vertAlign w:val="superscript"/>
        </w:rPr>
        <w:t>th</w:t>
      </w:r>
      <w:r>
        <w:rPr>
          <w:rFonts w:ascii="Cambria" w:hAnsi="Cambria" w:cs="Times New Roman"/>
          <w:b/>
          <w:color w:val="385623" w:themeColor="accent6" w:themeShade="80"/>
          <w:szCs w:val="24"/>
        </w:rPr>
        <w:t>March</w:t>
      </w:r>
      <w:r w:rsidRPr="002B5867">
        <w:rPr>
          <w:rFonts w:ascii="Cambria" w:hAnsi="Cambria" w:cs="Times New Roman"/>
          <w:b/>
          <w:color w:val="385623" w:themeColor="accent6" w:themeShade="80"/>
          <w:szCs w:val="24"/>
        </w:rPr>
        <w:t xml:space="preserve"> </w:t>
      </w:r>
      <w:r w:rsidRPr="002B5867">
        <w:rPr>
          <w:rFonts w:ascii="Cambria" w:hAnsi="Cambria" w:cs="Times New Roman"/>
          <w:b/>
          <w:color w:val="365929"/>
          <w:szCs w:val="24"/>
        </w:rPr>
        <w:t>2020 – Issue 27</w:t>
      </w:r>
      <w:r>
        <w:rPr>
          <w:rFonts w:ascii="Cambria" w:hAnsi="Cambria" w:cs="Times New Roman"/>
          <w:b/>
          <w:color w:val="365929"/>
          <w:szCs w:val="24"/>
        </w:rPr>
        <w:t>4</w:t>
      </w:r>
    </w:p>
    <w:p w14:paraId="35B67CCA" w14:textId="7A94AA9D" w:rsidR="00F74050" w:rsidRPr="002B5867" w:rsidRDefault="00F74050" w:rsidP="00F74050">
      <w:pPr>
        <w:spacing w:line="360" w:lineRule="auto"/>
        <w:ind w:left="1440"/>
        <w:rPr>
          <w:rFonts w:ascii="Cambria" w:hAnsi="Cambria"/>
          <w:b/>
          <w:bCs/>
          <w:i/>
          <w:iCs/>
          <w:szCs w:val="24"/>
        </w:rPr>
      </w:pPr>
      <w:r>
        <w:rPr>
          <w:rFonts w:ascii="Cambria" w:hAnsi="Cambria" w:cs="Times New Roman"/>
          <w:b/>
          <w:bCs/>
          <w:i/>
          <w:iCs/>
          <w:szCs w:val="24"/>
        </w:rPr>
        <w:t xml:space="preserve">The </w:t>
      </w:r>
      <w:r w:rsidR="006E45B9">
        <w:rPr>
          <w:rFonts w:ascii="Cambria" w:hAnsi="Cambria" w:cs="Times New Roman"/>
          <w:b/>
          <w:bCs/>
          <w:i/>
          <w:iCs/>
          <w:szCs w:val="24"/>
        </w:rPr>
        <w:t>Reserve Bank of India</w:t>
      </w:r>
      <w:r>
        <w:rPr>
          <w:rFonts w:ascii="Cambria" w:hAnsi="Cambria" w:cs="Times New Roman"/>
          <w:b/>
          <w:bCs/>
          <w:i/>
          <w:iCs/>
          <w:szCs w:val="24"/>
        </w:rPr>
        <w:t xml:space="preserve"> vide circular </w:t>
      </w:r>
      <w:r w:rsidR="00075DF4">
        <w:rPr>
          <w:rFonts w:ascii="Cambria" w:hAnsi="Cambria" w:cs="Times New Roman"/>
          <w:b/>
          <w:bCs/>
          <w:i/>
          <w:iCs/>
          <w:szCs w:val="24"/>
        </w:rPr>
        <w:t>n</w:t>
      </w:r>
      <w:r w:rsidR="006E45B9">
        <w:rPr>
          <w:rFonts w:ascii="Cambria" w:hAnsi="Cambria" w:cs="Times New Roman"/>
          <w:b/>
          <w:bCs/>
          <w:i/>
          <w:iCs/>
          <w:szCs w:val="24"/>
        </w:rPr>
        <w:t xml:space="preserve">o.109/22.10.106/2019-20 </w:t>
      </w:r>
      <w:r>
        <w:rPr>
          <w:rFonts w:ascii="Cambria" w:hAnsi="Cambria" w:cs="Times New Roman"/>
          <w:b/>
          <w:bCs/>
          <w:i/>
          <w:iCs/>
          <w:szCs w:val="24"/>
        </w:rPr>
        <w:t xml:space="preserve">dated </w:t>
      </w:r>
      <w:r w:rsidR="006E45B9">
        <w:rPr>
          <w:rFonts w:ascii="Cambria" w:hAnsi="Cambria" w:cs="Times New Roman"/>
          <w:b/>
          <w:bCs/>
          <w:i/>
          <w:iCs/>
          <w:szCs w:val="24"/>
        </w:rPr>
        <w:t>13</w:t>
      </w:r>
      <w:r>
        <w:rPr>
          <w:rFonts w:ascii="Cambria" w:hAnsi="Cambria" w:cs="Times New Roman"/>
          <w:b/>
          <w:bCs/>
          <w:i/>
          <w:iCs/>
          <w:szCs w:val="24"/>
        </w:rPr>
        <w:t>.03.202</w:t>
      </w:r>
      <w:r w:rsidR="006E45B9">
        <w:rPr>
          <w:rFonts w:ascii="Cambria" w:hAnsi="Cambria" w:cs="Times New Roman"/>
          <w:b/>
          <w:bCs/>
          <w:i/>
          <w:iCs/>
          <w:szCs w:val="24"/>
        </w:rPr>
        <w:t>0 has notified for the implementation of Indian Accounting Standards</w:t>
      </w:r>
      <w:r w:rsidR="00075DF4">
        <w:rPr>
          <w:rFonts w:ascii="Cambria" w:hAnsi="Cambria" w:cs="Times New Roman"/>
          <w:b/>
          <w:bCs/>
          <w:i/>
          <w:iCs/>
          <w:szCs w:val="24"/>
        </w:rPr>
        <w:t xml:space="preserve"> for NBFCs</w:t>
      </w:r>
    </w:p>
    <w:p w14:paraId="34DE2D9F" w14:textId="6A6141F3" w:rsidR="00F74050" w:rsidRDefault="006E45B9" w:rsidP="00F74050">
      <w:pPr>
        <w:pStyle w:val="ListParagraph"/>
        <w:numPr>
          <w:ilvl w:val="0"/>
          <w:numId w:val="2"/>
        </w:numPr>
        <w:spacing w:line="360" w:lineRule="auto"/>
        <w:ind w:left="1800"/>
        <w:rPr>
          <w:rFonts w:ascii="Cambria" w:hAnsi="Cambria" w:cs="Times New Roman"/>
          <w:szCs w:val="24"/>
        </w:rPr>
      </w:pPr>
      <w:r>
        <w:rPr>
          <w:rFonts w:ascii="Cambria" w:hAnsi="Cambria" w:cs="Times New Roman"/>
          <w:szCs w:val="24"/>
        </w:rPr>
        <w:t>RBI vide circular No.109/22.10.106/2019-20</w:t>
      </w:r>
      <w:r w:rsidR="00075DF4">
        <w:rPr>
          <w:rFonts w:ascii="Cambria" w:hAnsi="Cambria" w:cs="Times New Roman"/>
          <w:szCs w:val="24"/>
        </w:rPr>
        <w:t xml:space="preserve"> dated 13.03.2020 has notified the implementation of Indian Accounting Standards for NBFCs</w:t>
      </w:r>
      <w:r w:rsidR="001C3CA4">
        <w:rPr>
          <w:rFonts w:ascii="Cambria" w:hAnsi="Cambria" w:cs="Times New Roman"/>
          <w:szCs w:val="24"/>
        </w:rPr>
        <w:t>.</w:t>
      </w:r>
    </w:p>
    <w:p w14:paraId="302BF74C" w14:textId="714B6289" w:rsidR="001C3CA4" w:rsidRPr="001C3CA4" w:rsidRDefault="001C3CA4" w:rsidP="00F74050">
      <w:pPr>
        <w:pStyle w:val="ListParagraph"/>
        <w:numPr>
          <w:ilvl w:val="0"/>
          <w:numId w:val="2"/>
        </w:numPr>
        <w:spacing w:line="360" w:lineRule="auto"/>
        <w:ind w:left="1800"/>
        <w:rPr>
          <w:rFonts w:ascii="Cambria" w:hAnsi="Cambria" w:cs="Times New Roman"/>
          <w:szCs w:val="24"/>
        </w:rPr>
      </w:pPr>
      <w:r>
        <w:rPr>
          <w:rFonts w:ascii="Cambria" w:hAnsi="Cambria" w:cs="Times New Roman"/>
          <w:szCs w:val="24"/>
        </w:rPr>
        <w:t>Non-Banking Financial Companies (NBFCs) covered by Rule 4 of the Companies (Indian Accounting Standards0 Rules, 2015 are required to comply with Indian Accounting Standards (Ind AS) for the preparation of their financial statements. In order to pro</w:t>
      </w:r>
      <w:r w:rsidRPr="001C3CA4">
        <w:rPr>
          <w:rFonts w:ascii="Cambria" w:hAnsi="Cambria" w:cs="Times New Roman"/>
          <w:szCs w:val="24"/>
        </w:rPr>
        <w:t xml:space="preserve"> </w:t>
      </w:r>
      <w:r w:rsidRPr="001C3CA4">
        <w:rPr>
          <w:rFonts w:ascii="Cambria" w:hAnsi="Cambria" w:cs="Times New Roman"/>
          <w:szCs w:val="24"/>
        </w:rPr>
        <w:t>promote a high quality and consistent implementation as well as facilitate comparison and better supervision, the Reserve Bank has framed regulatory guidance on Ind AS given in the Annex which will be applicable on Ind AS implementing NBFCs and Asset Reconstruction Companies (ARCs) for preparation of their financial statements from financial year 2019-20 onwards.</w:t>
      </w:r>
    </w:p>
    <w:p w14:paraId="7410178E" w14:textId="3B541AAD" w:rsidR="001C3CA4" w:rsidRDefault="001C3CA4" w:rsidP="00F74050">
      <w:pPr>
        <w:pStyle w:val="ListParagraph"/>
        <w:numPr>
          <w:ilvl w:val="0"/>
          <w:numId w:val="2"/>
        </w:numPr>
        <w:spacing w:line="360" w:lineRule="auto"/>
        <w:ind w:left="1800"/>
        <w:rPr>
          <w:rFonts w:ascii="Cambria" w:hAnsi="Cambria" w:cs="Times New Roman"/>
          <w:szCs w:val="24"/>
        </w:rPr>
      </w:pPr>
      <w:r w:rsidRPr="001C3CA4">
        <w:rPr>
          <w:rFonts w:ascii="Cambria" w:hAnsi="Cambria" w:cs="Times New Roman"/>
          <w:szCs w:val="24"/>
        </w:rPr>
        <w:t>The annexed instructions and guidelines relate to specific prudential aspects of Ind AS implementation by NBFCs/ARCs and are not meant to provide a comprehensive commentary on the accounting standards or comprehensive technical interpretation of the standards, nor intended to cover all possible situations. Accordingly, with respect to matters not dealt with in the Annex, NBFCs/ARCs are required to refer to the notified accounting standards, application guidance, educational material and other clarifications issued by the Institute of Chartered Accountants of India (ICAI)</w:t>
      </w:r>
      <w:r>
        <w:rPr>
          <w:rFonts w:ascii="Cambria" w:hAnsi="Cambria" w:cs="Times New Roman"/>
          <w:szCs w:val="24"/>
        </w:rPr>
        <w:t>.</w:t>
      </w:r>
    </w:p>
    <w:p w14:paraId="1BD895C2" w14:textId="63768DF3" w:rsidR="00F74050" w:rsidRPr="00075DF4" w:rsidRDefault="00BD6406" w:rsidP="00075DF4">
      <w:pPr>
        <w:spacing w:line="360" w:lineRule="auto"/>
        <w:ind w:left="1530"/>
      </w:pPr>
      <w:hyperlink r:id="rId7" w:history="1">
        <w:r w:rsidR="00075DF4">
          <w:rPr>
            <w:rStyle w:val="Hyperlink"/>
          </w:rPr>
          <w:t>https://rbidocs.rbi.org.in/rdocs/notification/PDFs/NOTI170F341D8DE49C04D4B8382D855A9858583.PDF</w:t>
        </w:r>
      </w:hyperlink>
    </w:p>
    <w:p w14:paraId="5EF5ED9F" w14:textId="5BC258D2" w:rsidR="00F74050" w:rsidRPr="00F15433" w:rsidRDefault="00075DF4" w:rsidP="00F74050">
      <w:pPr>
        <w:spacing w:line="360" w:lineRule="auto"/>
        <w:ind w:left="1530"/>
        <w:rPr>
          <w:rFonts w:ascii="Cambria" w:hAnsi="Cambria" w:cs="Times New Roman"/>
          <w:b/>
          <w:bCs/>
          <w:i/>
          <w:iCs/>
          <w:szCs w:val="24"/>
        </w:rPr>
      </w:pPr>
      <w:r>
        <w:rPr>
          <w:rFonts w:ascii="Cambria" w:hAnsi="Cambria" w:cs="Times New Roman"/>
          <w:b/>
          <w:bCs/>
          <w:i/>
          <w:iCs/>
          <w:szCs w:val="24"/>
        </w:rPr>
        <w:t>The Reserve Bank of India vide circular no. 10/13.05.000/2019-20 issued for Urban Co-operative Banks</w:t>
      </w:r>
      <w:r w:rsidR="006D1A83">
        <w:rPr>
          <w:rFonts w:ascii="Cambria" w:hAnsi="Cambria" w:cs="Times New Roman"/>
          <w:b/>
          <w:bCs/>
          <w:i/>
          <w:iCs/>
          <w:szCs w:val="24"/>
        </w:rPr>
        <w:t xml:space="preserve"> (UCBs)</w:t>
      </w:r>
    </w:p>
    <w:p w14:paraId="1BA9C4CE" w14:textId="4D59EF69" w:rsidR="00F74050" w:rsidRDefault="00075DF4" w:rsidP="00F74050">
      <w:pPr>
        <w:pStyle w:val="ListParagraph"/>
        <w:numPr>
          <w:ilvl w:val="0"/>
          <w:numId w:val="3"/>
        </w:numPr>
        <w:spacing w:line="360" w:lineRule="auto"/>
        <w:ind w:left="1800"/>
        <w:rPr>
          <w:rFonts w:ascii="Cambria" w:hAnsi="Cambria" w:cs="Times New Roman"/>
          <w:szCs w:val="24"/>
        </w:rPr>
      </w:pPr>
      <w:r>
        <w:rPr>
          <w:rFonts w:ascii="Cambria" w:hAnsi="Cambria" w:cs="Times New Roman"/>
          <w:szCs w:val="24"/>
        </w:rPr>
        <w:t>RBI vide circular no. 10/13.05.000/2019-20 limits the exposure to single and group borrowers/parties and large exposures and Revision in the target for priority sector lending- UCBs</w:t>
      </w:r>
      <w:r w:rsidR="001C3CA4">
        <w:rPr>
          <w:rFonts w:ascii="Cambria" w:hAnsi="Cambria" w:cs="Times New Roman"/>
          <w:szCs w:val="24"/>
        </w:rPr>
        <w:t>.</w:t>
      </w:r>
    </w:p>
    <w:p w14:paraId="0E427AD2" w14:textId="2E309DDD" w:rsidR="001C3CA4" w:rsidRPr="001C3CA4" w:rsidRDefault="001C3CA4" w:rsidP="00F74050">
      <w:pPr>
        <w:pStyle w:val="ListParagraph"/>
        <w:numPr>
          <w:ilvl w:val="0"/>
          <w:numId w:val="3"/>
        </w:numPr>
        <w:spacing w:line="360" w:lineRule="auto"/>
        <w:ind w:left="1800"/>
        <w:rPr>
          <w:rFonts w:ascii="Cambria" w:hAnsi="Cambria" w:cs="Times New Roman"/>
          <w:szCs w:val="24"/>
        </w:rPr>
      </w:pPr>
      <w:r w:rsidRPr="001C3CA4">
        <w:rPr>
          <w:rFonts w:ascii="Cambria" w:hAnsi="Cambria" w:cs="Times New Roman"/>
          <w:szCs w:val="24"/>
        </w:rPr>
        <w:t>In terms of our </w:t>
      </w:r>
      <w:hyperlink r:id="rId8" w:tgtFrame="_blank" w:history="1">
        <w:r w:rsidRPr="001C3CA4">
          <w:rPr>
            <w:rFonts w:ascii="Cambria" w:hAnsi="Cambria" w:cs="Times New Roman"/>
            <w:szCs w:val="24"/>
          </w:rPr>
          <w:t>circular UBD.DS. Cir.No.44/13.05.00/2004-05 dated April 15, 2005</w:t>
        </w:r>
      </w:hyperlink>
      <w:r w:rsidRPr="001C3CA4">
        <w:rPr>
          <w:rFonts w:ascii="Cambria" w:hAnsi="Cambria" w:cs="Times New Roman"/>
          <w:szCs w:val="24"/>
        </w:rPr>
        <w:t>, Primary (Urban) Co-operative Banks (UCBs) were permitted to have exposures up to 15 per cent and 40 per cent of their capital funds to a single borrower and a group of borrowers, respectively. On a review, it has been decided that, henceforth, the prudential exposure limits for UCBs for a single borrower/party and a group of connected borrowers/parties shall be 15 per cent and 25 per cent, respectively, of their tier-I capital.</w:t>
      </w:r>
    </w:p>
    <w:p w14:paraId="1A24E4A7" w14:textId="2F0D7641" w:rsidR="001C3CA4" w:rsidRDefault="001C3CA4" w:rsidP="00F74050">
      <w:pPr>
        <w:pStyle w:val="ListParagraph"/>
        <w:numPr>
          <w:ilvl w:val="0"/>
          <w:numId w:val="3"/>
        </w:numPr>
        <w:spacing w:line="360" w:lineRule="auto"/>
        <w:ind w:left="1800"/>
        <w:rPr>
          <w:rFonts w:ascii="Cambria" w:hAnsi="Cambria" w:cs="Times New Roman"/>
          <w:szCs w:val="24"/>
        </w:rPr>
      </w:pPr>
      <w:r w:rsidRPr="001C3CA4">
        <w:rPr>
          <w:rFonts w:ascii="Cambria" w:hAnsi="Cambria" w:cs="Times New Roman"/>
          <w:szCs w:val="24"/>
        </w:rPr>
        <w:t>The revised exposure limits shall apply to all types of fresh exposures taken by UCBs. UCBs shall bring down their existing exposures which are in excess of the revised limits to within the aforesaid revised limits by March 31, 2023. However, where the existing exposure comprises only term loans and non-fund-based facilities, while no further exposure shall be taken on such borrowers, these facilities may be allowed to continue as per their respective repayment schedule / till maturity.</w:t>
      </w:r>
    </w:p>
    <w:p w14:paraId="7477A3D1" w14:textId="3A879860" w:rsidR="00F74050" w:rsidRDefault="00BD6406" w:rsidP="00F74050">
      <w:pPr>
        <w:spacing w:line="360" w:lineRule="auto"/>
        <w:ind w:left="1530"/>
      </w:pPr>
      <w:hyperlink r:id="rId9" w:history="1">
        <w:r w:rsidR="00075DF4">
          <w:rPr>
            <w:rStyle w:val="Hyperlink"/>
          </w:rPr>
          <w:t>https://rbidocs.rbi.org.in/rdocs/notification/PDFs/NT17144DF8BCA29824951B879D5B34668767A.PDF</w:t>
        </w:r>
      </w:hyperlink>
    </w:p>
    <w:p w14:paraId="7724BC54" w14:textId="0B23B8AF" w:rsidR="00D76F7C" w:rsidRDefault="00D76F7C" w:rsidP="00D76F7C">
      <w:pPr>
        <w:spacing w:line="360" w:lineRule="auto"/>
        <w:ind w:left="1530"/>
        <w:rPr>
          <w:rFonts w:ascii="Cambria" w:hAnsi="Cambria" w:cs="Times New Roman"/>
          <w:b/>
          <w:bCs/>
          <w:i/>
          <w:iCs/>
          <w:szCs w:val="24"/>
        </w:rPr>
      </w:pPr>
      <w:r>
        <w:rPr>
          <w:rFonts w:ascii="Cambria" w:hAnsi="Cambria" w:cs="Times New Roman"/>
          <w:b/>
          <w:bCs/>
          <w:i/>
          <w:iCs/>
          <w:szCs w:val="24"/>
        </w:rPr>
        <w:lastRenderedPageBreak/>
        <w:t>The Ministry of Corporate Affairs vide notification dated 11.03.20</w:t>
      </w:r>
      <w:r w:rsidR="00695684">
        <w:rPr>
          <w:rFonts w:ascii="Cambria" w:hAnsi="Cambria" w:cs="Times New Roman"/>
          <w:b/>
          <w:bCs/>
          <w:i/>
          <w:iCs/>
          <w:szCs w:val="24"/>
        </w:rPr>
        <w:t>20 under section 45 of the Banking Regulation Act, 1949</w:t>
      </w:r>
    </w:p>
    <w:p w14:paraId="242AA212" w14:textId="39FEE36C" w:rsidR="00695684" w:rsidRDefault="00695684" w:rsidP="00695684">
      <w:pPr>
        <w:pStyle w:val="ListParagraph"/>
        <w:numPr>
          <w:ilvl w:val="0"/>
          <w:numId w:val="3"/>
        </w:numPr>
        <w:spacing w:line="360" w:lineRule="auto"/>
        <w:ind w:left="1800"/>
        <w:rPr>
          <w:rFonts w:ascii="Cambria" w:hAnsi="Cambria" w:cs="Times New Roman"/>
          <w:szCs w:val="24"/>
        </w:rPr>
      </w:pPr>
      <w:r>
        <w:rPr>
          <w:rFonts w:ascii="Cambria" w:hAnsi="Cambria" w:cs="Times New Roman"/>
          <w:szCs w:val="24"/>
        </w:rPr>
        <w:t>MCA vide notification dated 11.03.2020 under section 45 of the Banking Regulation Act, 1949 hereby exempts a Banking Company from the application of the provisions of Sections 5 and 6 of the Competition Act, 2002 in public interest for a period of five years from the date of publication of this notification in the Official Gazette.</w:t>
      </w:r>
    </w:p>
    <w:p w14:paraId="0267736A" w14:textId="61AE4E3F" w:rsidR="00695684" w:rsidRDefault="00BD6406" w:rsidP="00695684">
      <w:pPr>
        <w:pStyle w:val="ListParagraph"/>
        <w:spacing w:line="360" w:lineRule="auto"/>
        <w:ind w:left="1800"/>
        <w:rPr>
          <w:rFonts w:ascii="Cambria" w:hAnsi="Cambria" w:cs="Times New Roman"/>
          <w:szCs w:val="24"/>
        </w:rPr>
      </w:pPr>
      <w:hyperlink r:id="rId10" w:history="1">
        <w:r w:rsidR="00695684">
          <w:rPr>
            <w:rStyle w:val="Hyperlink"/>
          </w:rPr>
          <w:t>http://www.mca.gov.in/Ministry/pdf/BankingNotification_11032020.pdf</w:t>
        </w:r>
      </w:hyperlink>
    </w:p>
    <w:p w14:paraId="5C519CE8" w14:textId="698F9881" w:rsidR="00F74050" w:rsidRPr="00F15433" w:rsidRDefault="00F74050" w:rsidP="00695684">
      <w:pPr>
        <w:spacing w:line="360" w:lineRule="auto"/>
        <w:ind w:left="1440" w:firstLine="60"/>
        <w:rPr>
          <w:rFonts w:ascii="Cambria" w:hAnsi="Cambria" w:cs="Times New Roman"/>
          <w:szCs w:val="24"/>
        </w:rPr>
      </w:pPr>
      <w:r>
        <w:rPr>
          <w:rFonts w:ascii="Cambria" w:hAnsi="Cambria" w:cs="Times New Roman"/>
          <w:b/>
          <w:bCs/>
          <w:i/>
          <w:iCs/>
          <w:szCs w:val="24"/>
        </w:rPr>
        <w:t xml:space="preserve">The </w:t>
      </w:r>
      <w:r w:rsidR="00695684">
        <w:rPr>
          <w:rFonts w:ascii="Cambria" w:hAnsi="Cambria" w:cs="Times New Roman"/>
          <w:b/>
          <w:bCs/>
          <w:i/>
          <w:iCs/>
          <w:szCs w:val="24"/>
        </w:rPr>
        <w:t>Securities Exchange Board of India vide circular no. SEBI/HO/DDHS/DDHS/CIR/P/2020/36 dated 13.03.2020 has issued guidelines for Right Issue, Preferential Issue and Institutional Placement of units by a listed InvITs</w:t>
      </w:r>
    </w:p>
    <w:p w14:paraId="41FD5489" w14:textId="14E191F3" w:rsidR="00F74050" w:rsidRDefault="00695684" w:rsidP="00F74050">
      <w:pPr>
        <w:pStyle w:val="Default"/>
        <w:numPr>
          <w:ilvl w:val="0"/>
          <w:numId w:val="1"/>
        </w:numPr>
        <w:tabs>
          <w:tab w:val="left" w:pos="1260"/>
        </w:tabs>
        <w:spacing w:line="360" w:lineRule="auto"/>
        <w:ind w:left="1800"/>
        <w:jc w:val="both"/>
        <w:rPr>
          <w:rFonts w:ascii="Cambria" w:hAnsi="Cambria" w:cs="Arial"/>
          <w:color w:val="222222"/>
          <w:shd w:val="clear" w:color="auto" w:fill="FFFFFF"/>
        </w:rPr>
      </w:pPr>
      <w:r>
        <w:rPr>
          <w:rFonts w:ascii="Cambria" w:hAnsi="Cambria" w:cs="Arial"/>
          <w:color w:val="222222"/>
          <w:shd w:val="clear" w:color="auto" w:fill="FFFFFF"/>
        </w:rPr>
        <w:t xml:space="preserve">SEBI vide circular no. </w:t>
      </w:r>
      <w:r w:rsidR="006D1A83">
        <w:rPr>
          <w:rFonts w:ascii="Cambria" w:hAnsi="Cambria" w:cs="Arial"/>
          <w:color w:val="222222"/>
          <w:shd w:val="clear" w:color="auto" w:fill="FFFFFF"/>
        </w:rPr>
        <w:t>SEBI/HO/DDHS/DDHS/CIR/P/2020/36 Has issued guidelines for Right Issue, Preferential Issue and Institutional Placement of units by a listed InvITS.</w:t>
      </w:r>
    </w:p>
    <w:p w14:paraId="2EA0E6F5" w14:textId="303B03A8" w:rsidR="00F74050" w:rsidRPr="00D34083" w:rsidRDefault="00BD6406" w:rsidP="00F74050">
      <w:pPr>
        <w:pStyle w:val="Default"/>
        <w:tabs>
          <w:tab w:val="left" w:pos="1260"/>
        </w:tabs>
        <w:spacing w:line="360" w:lineRule="auto"/>
        <w:ind w:left="1800"/>
        <w:jc w:val="both"/>
        <w:rPr>
          <w:rFonts w:ascii="Cambria" w:hAnsi="Cambria" w:cs="Arial"/>
          <w:color w:val="222222"/>
          <w:shd w:val="clear" w:color="auto" w:fill="FFFFFF"/>
        </w:rPr>
      </w:pPr>
      <w:hyperlink r:id="rId11" w:history="1">
        <w:r w:rsidR="006D1A83">
          <w:rPr>
            <w:rStyle w:val="Hyperlink"/>
          </w:rPr>
          <w:t>https://www.sebi.gov.in/legal/circulars/mar-2020/amendments-to-guidelines-for-rights-issue-preferential-issue-and-institutional-placement-of-units-by-a-listed-invit_46311.html</w:t>
        </w:r>
      </w:hyperlink>
    </w:p>
    <w:p w14:paraId="06E38B93" w14:textId="151415E3" w:rsidR="00F74050" w:rsidRPr="002B5867" w:rsidRDefault="00F74050" w:rsidP="00F74050">
      <w:pPr>
        <w:pStyle w:val="BodyText"/>
        <w:spacing w:before="360" w:line="360" w:lineRule="auto"/>
        <w:ind w:left="993"/>
        <w:jc w:val="center"/>
        <w:rPr>
          <w:rFonts w:ascii="Cambria" w:hAnsi="Cambria" w:cs="Times New Roman"/>
          <w:color w:val="4472C4" w:themeColor="accent1"/>
          <w:szCs w:val="24"/>
        </w:rPr>
      </w:pPr>
      <w:bookmarkStart w:id="0" w:name="_GoBack"/>
      <w:bookmarkEnd w:id="0"/>
      <w:r w:rsidRPr="002B5867">
        <w:rPr>
          <w:rFonts w:ascii="Cambria" w:hAnsi="Cambria" w:cs="Times New Roman"/>
          <w:color w:val="4472C4" w:themeColor="accent1"/>
          <w:szCs w:val="24"/>
        </w:rPr>
        <w:t>****</w:t>
      </w:r>
    </w:p>
    <w:p w14:paraId="626E34A2" w14:textId="77777777" w:rsidR="00F74050" w:rsidRPr="002B5867" w:rsidRDefault="00F74050" w:rsidP="00F74050">
      <w:pPr>
        <w:pStyle w:val="BodyText"/>
        <w:spacing w:line="360" w:lineRule="auto"/>
        <w:ind w:left="993"/>
        <w:jc w:val="center"/>
        <w:rPr>
          <w:rFonts w:ascii="Cambria" w:hAnsi="Cambria" w:cs="Times New Roman"/>
          <w:szCs w:val="24"/>
        </w:rPr>
      </w:pPr>
      <w:r w:rsidRPr="002B5867">
        <w:rPr>
          <w:rFonts w:ascii="Cambria" w:hAnsi="Cambria" w:cs="Times New Roman"/>
          <w:szCs w:val="24"/>
        </w:rPr>
        <w:t xml:space="preserve">In case you have suggestions or do not wish to receive our newsletter, </w:t>
      </w:r>
      <w:r w:rsidRPr="002B5867">
        <w:rPr>
          <w:rFonts w:ascii="Cambria" w:hAnsi="Cambria" w:cs="Times New Roman"/>
          <w:szCs w:val="24"/>
        </w:rPr>
        <w:br/>
        <w:t>please email us at info@lexfavios.com</w:t>
      </w:r>
    </w:p>
    <w:p w14:paraId="38E60777" w14:textId="77777777" w:rsidR="00F74050" w:rsidRPr="002B5867" w:rsidRDefault="00F74050" w:rsidP="00F74050">
      <w:pPr>
        <w:pStyle w:val="BodyText"/>
        <w:spacing w:before="240" w:line="360" w:lineRule="auto"/>
        <w:rPr>
          <w:rFonts w:ascii="Cambria" w:hAnsi="Cambria" w:cs="Times New Roman"/>
          <w:b/>
          <w:szCs w:val="24"/>
        </w:rPr>
      </w:pPr>
    </w:p>
    <w:p w14:paraId="6BB9272F" w14:textId="77777777" w:rsidR="00F74050" w:rsidRPr="002B5867" w:rsidRDefault="00F74050" w:rsidP="00F74050">
      <w:pPr>
        <w:pStyle w:val="BodyText"/>
        <w:spacing w:before="240" w:line="360" w:lineRule="auto"/>
        <w:ind w:left="993"/>
        <w:jc w:val="center"/>
        <w:rPr>
          <w:rFonts w:ascii="Cambria" w:hAnsi="Cambria" w:cs="Times New Roman"/>
          <w:b/>
          <w:szCs w:val="24"/>
        </w:rPr>
      </w:pPr>
      <w:r w:rsidRPr="002B5867">
        <w:rPr>
          <w:rFonts w:ascii="Cambria" w:hAnsi="Cambria" w:cs="Times New Roman"/>
          <w:b/>
          <w:szCs w:val="24"/>
        </w:rPr>
        <w:lastRenderedPageBreak/>
        <w:t>Contact details</w:t>
      </w:r>
    </w:p>
    <w:p w14:paraId="392136CD" w14:textId="77777777" w:rsidR="00F74050" w:rsidRPr="002B5867" w:rsidRDefault="00F74050" w:rsidP="00F74050">
      <w:pPr>
        <w:pStyle w:val="BodyText"/>
        <w:spacing w:line="360" w:lineRule="auto"/>
        <w:ind w:left="993"/>
        <w:jc w:val="center"/>
        <w:rPr>
          <w:rFonts w:ascii="Cambria" w:hAnsi="Cambria" w:cs="Times New Roman"/>
          <w:i/>
          <w:szCs w:val="24"/>
        </w:rPr>
      </w:pPr>
      <w:r w:rsidRPr="002B5867">
        <w:rPr>
          <w:rFonts w:ascii="Cambria" w:hAnsi="Cambria" w:cs="Times New Roman"/>
          <w:b/>
          <w:color w:val="4472C4" w:themeColor="accent1"/>
          <w:szCs w:val="24"/>
        </w:rPr>
        <w:t>Sumes Dewan</w:t>
      </w:r>
      <w:r w:rsidRPr="002B5867">
        <w:rPr>
          <w:rFonts w:ascii="Cambria" w:hAnsi="Cambria" w:cs="Times New Roman"/>
          <w:b/>
          <w:color w:val="4472C4" w:themeColor="accent1"/>
          <w:szCs w:val="24"/>
        </w:rPr>
        <w:br/>
      </w:r>
      <w:r w:rsidRPr="002B5867">
        <w:rPr>
          <w:rFonts w:ascii="Cambria" w:hAnsi="Cambria" w:cs="Times New Roman"/>
          <w:i/>
          <w:szCs w:val="24"/>
        </w:rPr>
        <w:t>Managing Partner</w:t>
      </w:r>
      <w:r w:rsidRPr="002B5867">
        <w:rPr>
          <w:rFonts w:ascii="Cambria" w:hAnsi="Cambria" w:cs="Times New Roman"/>
          <w:i/>
          <w:szCs w:val="24"/>
        </w:rPr>
        <w:br/>
        <w:t>Lex Favios</w:t>
      </w:r>
    </w:p>
    <w:p w14:paraId="4A4032B6" w14:textId="77777777" w:rsidR="00F74050" w:rsidRPr="002B5867" w:rsidRDefault="00F74050" w:rsidP="00F74050">
      <w:pPr>
        <w:pStyle w:val="BodyText"/>
        <w:spacing w:line="360" w:lineRule="auto"/>
        <w:ind w:left="993"/>
        <w:jc w:val="center"/>
        <w:rPr>
          <w:rFonts w:ascii="Cambria" w:hAnsi="Cambria" w:cs="Times New Roman"/>
          <w:szCs w:val="24"/>
        </w:rPr>
      </w:pPr>
      <w:r w:rsidRPr="002B5867">
        <w:rPr>
          <w:rFonts w:ascii="Cambria" w:hAnsi="Cambria" w:cs="Times New Roman"/>
          <w:szCs w:val="24"/>
        </w:rPr>
        <w:t xml:space="preserve">Email: </w:t>
      </w:r>
      <w:hyperlink r:id="rId12" w:history="1">
        <w:r w:rsidRPr="002B5867">
          <w:rPr>
            <w:rStyle w:val="Hyperlink"/>
            <w:rFonts w:ascii="Cambria" w:hAnsi="Cambria" w:cs="Times New Roman"/>
            <w:szCs w:val="24"/>
          </w:rPr>
          <w:t>sumes.dewan@lexfavios.com</w:t>
        </w:r>
      </w:hyperlink>
      <w:r w:rsidRPr="002B5867">
        <w:rPr>
          <w:rFonts w:ascii="Cambria" w:hAnsi="Cambria" w:cs="Times New Roman"/>
          <w:szCs w:val="24"/>
        </w:rPr>
        <w:br/>
        <w:t>Tel: 91-11-32084941 (D) 91-11-41435188/45264524</w:t>
      </w:r>
    </w:p>
    <w:p w14:paraId="1BE63A99" w14:textId="77777777" w:rsidR="00F74050" w:rsidRPr="002B5867" w:rsidRDefault="00F74050" w:rsidP="00F74050">
      <w:pPr>
        <w:spacing w:line="360" w:lineRule="auto"/>
        <w:rPr>
          <w:rFonts w:ascii="Cambria" w:hAnsi="Cambria" w:cs="Times New Roman"/>
          <w:szCs w:val="24"/>
        </w:rPr>
      </w:pPr>
    </w:p>
    <w:p w14:paraId="6A62C82F" w14:textId="77777777" w:rsidR="00F74050" w:rsidRPr="002B5867" w:rsidRDefault="00F74050" w:rsidP="00F74050">
      <w:pPr>
        <w:spacing w:line="360" w:lineRule="auto"/>
        <w:ind w:left="993"/>
        <w:jc w:val="center"/>
        <w:rPr>
          <w:rFonts w:ascii="Cambria" w:hAnsi="Cambria" w:cs="Times New Roman"/>
          <w:szCs w:val="24"/>
        </w:rPr>
      </w:pPr>
    </w:p>
    <w:p w14:paraId="6AA6B3A6" w14:textId="77777777" w:rsidR="00F74050" w:rsidRDefault="00F74050" w:rsidP="00F74050"/>
    <w:p w14:paraId="019E5B7E" w14:textId="77777777" w:rsidR="00F74050" w:rsidRDefault="00F74050"/>
    <w:sectPr w:rsidR="00F74050" w:rsidSect="007A1FC5">
      <w:headerReference w:type="default" r:id="rId13"/>
      <w:footerReference w:type="default" r:id="rId14"/>
      <w:pgSz w:w="11900" w:h="16840"/>
      <w:pgMar w:top="4536" w:right="68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5C5B82" w14:textId="77777777" w:rsidR="00BD6406" w:rsidRDefault="00BD6406">
      <w:pPr>
        <w:spacing w:after="0" w:line="240" w:lineRule="auto"/>
      </w:pPr>
      <w:r>
        <w:separator/>
      </w:r>
    </w:p>
  </w:endnote>
  <w:endnote w:type="continuationSeparator" w:id="0">
    <w:p w14:paraId="0433D602" w14:textId="77777777" w:rsidR="00BD6406" w:rsidRDefault="00BD64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5564D8" w14:textId="77777777" w:rsidR="002D49CD" w:rsidRDefault="006D1A83">
    <w:pPr>
      <w:pStyle w:val="Footer"/>
    </w:pPr>
    <w:r>
      <w:rPr>
        <w:noProof/>
      </w:rPr>
      <mc:AlternateContent>
        <mc:Choice Requires="wps">
          <w:drawing>
            <wp:anchor distT="0" distB="0" distL="114300" distR="114300" simplePos="0" relativeHeight="251659264" behindDoc="0" locked="0" layoutInCell="1" allowOverlap="1" wp14:anchorId="496CB524" wp14:editId="6A6E151F">
              <wp:simplePos x="0" y="0"/>
              <wp:positionH relativeFrom="margin">
                <wp:posOffset>6047105</wp:posOffset>
              </wp:positionH>
              <wp:positionV relativeFrom="paragraph">
                <wp:posOffset>499110</wp:posOffset>
              </wp:positionV>
              <wp:extent cx="311785" cy="248285"/>
              <wp:effectExtent l="0" t="0" r="0" b="0"/>
              <wp:wrapNone/>
              <wp:docPr id="3"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785" cy="24828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46DBD2" w14:textId="77777777" w:rsidR="002D49CD" w:rsidRPr="008C1199" w:rsidRDefault="006D1A83" w:rsidP="008C1199">
                          <w:pPr>
                            <w:spacing w:after="0" w:line="240" w:lineRule="auto"/>
                            <w:jc w:val="center"/>
                            <w:rPr>
                              <w:rFonts w:ascii="Times New Roman" w:hAnsi="Times New Roman" w:cs="Times New Roman"/>
                              <w:b/>
                              <w:color w:val="FFFFFF" w:themeColor="background1"/>
                              <w:sz w:val="20"/>
                              <w:szCs w:val="20"/>
                            </w:rPr>
                          </w:pPr>
                          <w:r w:rsidRPr="008C1199">
                            <w:rPr>
                              <w:rFonts w:ascii="Times New Roman" w:hAnsi="Times New Roman" w:cs="Times New Roman"/>
                              <w:b/>
                              <w:color w:val="FFFFFF" w:themeColor="background1"/>
                              <w:sz w:val="20"/>
                              <w:szCs w:val="20"/>
                            </w:rPr>
                            <w:fldChar w:fldCharType="begin"/>
                          </w:r>
                          <w:r w:rsidRPr="008C1199">
                            <w:rPr>
                              <w:rFonts w:ascii="Times New Roman" w:hAnsi="Times New Roman" w:cs="Times New Roman"/>
                              <w:b/>
                              <w:color w:val="FFFFFF" w:themeColor="background1"/>
                              <w:sz w:val="20"/>
                              <w:szCs w:val="20"/>
                            </w:rPr>
                            <w:instrText xml:space="preserve"> PAGE   \* MERGEFORMAT </w:instrText>
                          </w:r>
                          <w:r w:rsidRPr="008C1199">
                            <w:rPr>
                              <w:rFonts w:ascii="Times New Roman" w:hAnsi="Times New Roman" w:cs="Times New Roman"/>
                              <w:b/>
                              <w:color w:val="FFFFFF" w:themeColor="background1"/>
                              <w:sz w:val="20"/>
                              <w:szCs w:val="20"/>
                            </w:rPr>
                            <w:fldChar w:fldCharType="separate"/>
                          </w:r>
                          <w:r>
                            <w:rPr>
                              <w:rFonts w:ascii="Times New Roman" w:hAnsi="Times New Roman" w:cs="Times New Roman"/>
                              <w:b/>
                              <w:noProof/>
                              <w:color w:val="FFFFFF" w:themeColor="background1"/>
                              <w:sz w:val="20"/>
                              <w:szCs w:val="20"/>
                            </w:rPr>
                            <w:t>4</w:t>
                          </w:r>
                          <w:r w:rsidRPr="008C1199">
                            <w:rPr>
                              <w:rFonts w:ascii="Times New Roman" w:hAnsi="Times New Roman" w:cs="Times New Roman"/>
                              <w:b/>
                              <w:noProof/>
                              <w:color w:val="FFFFFF" w:themeColor="background1"/>
                              <w:sz w:val="20"/>
                              <w:szCs w:val="20"/>
                            </w:rPr>
                            <w:fldChar w:fldCharType="end"/>
                          </w:r>
                        </w:p>
                        <w:p w14:paraId="716BCC12" w14:textId="77777777" w:rsidR="002D49CD" w:rsidRPr="008C1199" w:rsidRDefault="00BD6406" w:rsidP="008C1199">
                          <w:pPr>
                            <w:spacing w:after="0" w:line="240" w:lineRule="auto"/>
                            <w:jc w:val="center"/>
                            <w:rPr>
                              <w:rFonts w:ascii="Times New Roman" w:hAnsi="Times New Roman" w:cs="Times New Roman"/>
                              <w:b/>
                              <w:color w:val="FFFFFF" w:themeColor="background1"/>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6CB524" id="Oval 3" o:spid="_x0000_s1026" style="position:absolute;left:0;text-align:left;margin-left:476.15pt;margin-top:39.3pt;width:24.55pt;height:19.5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" filled="f" stroked="f" strokeweight="1pt">
              <v:stroke joinstyle="miter"/>
              <v:textbox inset="0,0,0,0">
                <w:txbxContent>
                  <w:p w14:paraId="1846DBD2" w14:textId="77777777" w:rsidR="002D49CD" w:rsidRPr="008C1199" w:rsidRDefault="006D1A83" w:rsidP="008C1199">
                    <w:pPr>
                      <w:spacing w:after="0" w:line="240" w:lineRule="auto"/>
                      <w:jc w:val="center"/>
                      <w:rPr>
                        <w:rFonts w:ascii="Times New Roman" w:hAnsi="Times New Roman" w:cs="Times New Roman"/>
                        <w:b/>
                        <w:color w:val="FFFFFF" w:themeColor="background1"/>
                        <w:sz w:val="20"/>
                        <w:szCs w:val="20"/>
                      </w:rPr>
                    </w:pPr>
                    <w:r w:rsidRPr="008C1199">
                      <w:rPr>
                        <w:rFonts w:ascii="Times New Roman" w:hAnsi="Times New Roman" w:cs="Times New Roman"/>
                        <w:b/>
                        <w:color w:val="FFFFFF" w:themeColor="background1"/>
                        <w:sz w:val="20"/>
                        <w:szCs w:val="20"/>
                      </w:rPr>
                      <w:fldChar w:fldCharType="begin"/>
                    </w:r>
                    <w:r w:rsidRPr="008C1199">
                      <w:rPr>
                        <w:rFonts w:ascii="Times New Roman" w:hAnsi="Times New Roman" w:cs="Times New Roman"/>
                        <w:b/>
                        <w:color w:val="FFFFFF" w:themeColor="background1"/>
                        <w:sz w:val="20"/>
                        <w:szCs w:val="20"/>
                      </w:rPr>
                      <w:instrText xml:space="preserve"> PAGE   \* MERGEFORMAT </w:instrText>
                    </w:r>
                    <w:r w:rsidRPr="008C1199">
                      <w:rPr>
                        <w:rFonts w:ascii="Times New Roman" w:hAnsi="Times New Roman" w:cs="Times New Roman"/>
                        <w:b/>
                        <w:color w:val="FFFFFF" w:themeColor="background1"/>
                        <w:sz w:val="20"/>
                        <w:szCs w:val="20"/>
                      </w:rPr>
                      <w:fldChar w:fldCharType="separate"/>
                    </w:r>
                    <w:r>
                      <w:rPr>
                        <w:rFonts w:ascii="Times New Roman" w:hAnsi="Times New Roman" w:cs="Times New Roman"/>
                        <w:b/>
                        <w:noProof/>
                        <w:color w:val="FFFFFF" w:themeColor="background1"/>
                        <w:sz w:val="20"/>
                        <w:szCs w:val="20"/>
                      </w:rPr>
                      <w:t>4</w:t>
                    </w:r>
                    <w:r w:rsidRPr="008C1199">
                      <w:rPr>
                        <w:rFonts w:ascii="Times New Roman" w:hAnsi="Times New Roman" w:cs="Times New Roman"/>
                        <w:b/>
                        <w:noProof/>
                        <w:color w:val="FFFFFF" w:themeColor="background1"/>
                        <w:sz w:val="20"/>
                        <w:szCs w:val="20"/>
                      </w:rPr>
                      <w:fldChar w:fldCharType="end"/>
                    </w:r>
                  </w:p>
                  <w:p w14:paraId="716BCC12" w14:textId="77777777" w:rsidR="002D49CD" w:rsidRPr="008C1199" w:rsidRDefault="006D1A83" w:rsidP="008C1199">
                    <w:pPr>
                      <w:spacing w:after="0" w:line="240" w:lineRule="auto"/>
                      <w:jc w:val="center"/>
                      <w:rPr>
                        <w:rFonts w:ascii="Times New Roman" w:hAnsi="Times New Roman" w:cs="Times New Roman"/>
                        <w:b/>
                        <w:color w:val="FFFFFF" w:themeColor="background1"/>
                        <w:sz w:val="20"/>
                        <w:szCs w:val="20"/>
                      </w:rPr>
                    </w:pPr>
                  </w:p>
                </w:txbxContent>
              </v:textbox>
              <w10:wrap anchorx="margin"/>
            </v:oval>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57BB64" w14:textId="77777777" w:rsidR="00BD6406" w:rsidRDefault="00BD6406">
      <w:pPr>
        <w:spacing w:after="0" w:line="240" w:lineRule="auto"/>
      </w:pPr>
      <w:r>
        <w:separator/>
      </w:r>
    </w:p>
  </w:footnote>
  <w:footnote w:type="continuationSeparator" w:id="0">
    <w:p w14:paraId="417872C2" w14:textId="77777777" w:rsidR="00BD6406" w:rsidRDefault="00BD64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127196" w14:textId="77777777" w:rsidR="002D49CD" w:rsidRDefault="006D1A83">
    <w:pPr>
      <w:pStyle w:val="Header"/>
    </w:pPr>
    <w:r>
      <w:rPr>
        <w:noProof/>
      </w:rPr>
      <w:drawing>
        <wp:anchor distT="0" distB="0" distL="114300" distR="114300" simplePos="0" relativeHeight="251660288" behindDoc="1" locked="1" layoutInCell="1" allowOverlap="1" wp14:anchorId="1545C070" wp14:editId="2FF447A1">
          <wp:simplePos x="0" y="0"/>
          <wp:positionH relativeFrom="column">
            <wp:posOffset>-856615</wp:posOffset>
          </wp:positionH>
          <wp:positionV relativeFrom="page">
            <wp:posOffset>347345</wp:posOffset>
          </wp:positionV>
          <wp:extent cx="7552690" cy="10688320"/>
          <wp:effectExtent l="0" t="0" r="3810" b="508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sletter_bg.png"/>
                  <pic:cNvPicPr/>
                </pic:nvPicPr>
                <pic:blipFill>
                  <a:blip r:embed="rId1">
                    <a:extLst>
                      <a:ext uri="{28A0092B-C50C-407E-A947-70E740481C1C}">
                        <a14:useLocalDpi xmlns:a14="http://schemas.microsoft.com/office/drawing/2010/main" val="0"/>
                      </a:ext>
                    </a:extLst>
                  </a:blip>
                  <a:stretch>
                    <a:fillRect/>
                  </a:stretch>
                </pic:blipFill>
                <pic:spPr>
                  <a:xfrm>
                    <a:off x="0" y="0"/>
                    <a:ext cx="7552690" cy="1068832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B642271"/>
    <w:multiLevelType w:val="hybridMultilevel"/>
    <w:tmpl w:val="065A26F2"/>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60963571"/>
    <w:multiLevelType w:val="hybridMultilevel"/>
    <w:tmpl w:val="C01A4242"/>
    <w:lvl w:ilvl="0" w:tplc="0409000B">
      <w:start w:val="1"/>
      <w:numFmt w:val="bullet"/>
      <w:lvlText w:val=""/>
      <w:lvlJc w:val="left"/>
      <w:pPr>
        <w:ind w:left="2310" w:hanging="360"/>
      </w:pPr>
      <w:rPr>
        <w:rFonts w:ascii="Wingdings" w:hAnsi="Wingdings" w:hint="default"/>
      </w:rPr>
    </w:lvl>
    <w:lvl w:ilvl="1" w:tplc="04090003" w:tentative="1">
      <w:start w:val="1"/>
      <w:numFmt w:val="bullet"/>
      <w:lvlText w:val="o"/>
      <w:lvlJc w:val="left"/>
      <w:pPr>
        <w:ind w:left="3030" w:hanging="360"/>
      </w:pPr>
      <w:rPr>
        <w:rFonts w:ascii="Courier New" w:hAnsi="Courier New" w:cs="Courier New" w:hint="default"/>
      </w:rPr>
    </w:lvl>
    <w:lvl w:ilvl="2" w:tplc="04090005" w:tentative="1">
      <w:start w:val="1"/>
      <w:numFmt w:val="bullet"/>
      <w:lvlText w:val=""/>
      <w:lvlJc w:val="left"/>
      <w:pPr>
        <w:ind w:left="3750" w:hanging="360"/>
      </w:pPr>
      <w:rPr>
        <w:rFonts w:ascii="Wingdings" w:hAnsi="Wingdings" w:hint="default"/>
      </w:rPr>
    </w:lvl>
    <w:lvl w:ilvl="3" w:tplc="04090001" w:tentative="1">
      <w:start w:val="1"/>
      <w:numFmt w:val="bullet"/>
      <w:lvlText w:val=""/>
      <w:lvlJc w:val="left"/>
      <w:pPr>
        <w:ind w:left="4470" w:hanging="360"/>
      </w:pPr>
      <w:rPr>
        <w:rFonts w:ascii="Symbol" w:hAnsi="Symbol" w:hint="default"/>
      </w:rPr>
    </w:lvl>
    <w:lvl w:ilvl="4" w:tplc="04090003" w:tentative="1">
      <w:start w:val="1"/>
      <w:numFmt w:val="bullet"/>
      <w:lvlText w:val="o"/>
      <w:lvlJc w:val="left"/>
      <w:pPr>
        <w:ind w:left="5190" w:hanging="360"/>
      </w:pPr>
      <w:rPr>
        <w:rFonts w:ascii="Courier New" w:hAnsi="Courier New" w:cs="Courier New" w:hint="default"/>
      </w:rPr>
    </w:lvl>
    <w:lvl w:ilvl="5" w:tplc="04090005" w:tentative="1">
      <w:start w:val="1"/>
      <w:numFmt w:val="bullet"/>
      <w:lvlText w:val=""/>
      <w:lvlJc w:val="left"/>
      <w:pPr>
        <w:ind w:left="5910" w:hanging="360"/>
      </w:pPr>
      <w:rPr>
        <w:rFonts w:ascii="Wingdings" w:hAnsi="Wingdings" w:hint="default"/>
      </w:rPr>
    </w:lvl>
    <w:lvl w:ilvl="6" w:tplc="04090001" w:tentative="1">
      <w:start w:val="1"/>
      <w:numFmt w:val="bullet"/>
      <w:lvlText w:val=""/>
      <w:lvlJc w:val="left"/>
      <w:pPr>
        <w:ind w:left="6630" w:hanging="360"/>
      </w:pPr>
      <w:rPr>
        <w:rFonts w:ascii="Symbol" w:hAnsi="Symbol" w:hint="default"/>
      </w:rPr>
    </w:lvl>
    <w:lvl w:ilvl="7" w:tplc="04090003" w:tentative="1">
      <w:start w:val="1"/>
      <w:numFmt w:val="bullet"/>
      <w:lvlText w:val="o"/>
      <w:lvlJc w:val="left"/>
      <w:pPr>
        <w:ind w:left="7350" w:hanging="360"/>
      </w:pPr>
      <w:rPr>
        <w:rFonts w:ascii="Courier New" w:hAnsi="Courier New" w:cs="Courier New" w:hint="default"/>
      </w:rPr>
    </w:lvl>
    <w:lvl w:ilvl="8" w:tplc="04090005" w:tentative="1">
      <w:start w:val="1"/>
      <w:numFmt w:val="bullet"/>
      <w:lvlText w:val=""/>
      <w:lvlJc w:val="left"/>
      <w:pPr>
        <w:ind w:left="8070" w:hanging="360"/>
      </w:pPr>
      <w:rPr>
        <w:rFonts w:ascii="Wingdings" w:hAnsi="Wingdings" w:hint="default"/>
      </w:rPr>
    </w:lvl>
  </w:abstractNum>
  <w:abstractNum w:abstractNumId="2" w15:restartNumberingAfterBreak="0">
    <w:nsid w:val="715A47C4"/>
    <w:multiLevelType w:val="hybridMultilevel"/>
    <w:tmpl w:val="D054C5A6"/>
    <w:lvl w:ilvl="0" w:tplc="0409000B">
      <w:start w:val="1"/>
      <w:numFmt w:val="bullet"/>
      <w:lvlText w:val=""/>
      <w:lvlJc w:val="left"/>
      <w:pPr>
        <w:ind w:left="2250" w:hanging="360"/>
      </w:pPr>
      <w:rPr>
        <w:rFonts w:ascii="Wingdings" w:hAnsi="Wingdings" w:hint="default"/>
      </w:rPr>
    </w:lvl>
    <w:lvl w:ilvl="1" w:tplc="04090003">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4050"/>
    <w:rsid w:val="00075DF4"/>
    <w:rsid w:val="001C3CA4"/>
    <w:rsid w:val="00695684"/>
    <w:rsid w:val="006D1A83"/>
    <w:rsid w:val="006E45B9"/>
    <w:rsid w:val="00BD6406"/>
    <w:rsid w:val="00D76F7C"/>
    <w:rsid w:val="00F7405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516FFE"/>
  <w15:chartTrackingRefBased/>
  <w15:docId w15:val="{CC744333-A85B-465C-8285-33162B92FD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4050"/>
    <w:pPr>
      <w:spacing w:line="288" w:lineRule="auto"/>
      <w:jc w:val="both"/>
    </w:pPr>
    <w:rPr>
      <w:sz w:val="24"/>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F74050"/>
    <w:pPr>
      <w:tabs>
        <w:tab w:val="center" w:pos="4513"/>
        <w:tab w:val="right" w:pos="9026"/>
      </w:tabs>
    </w:pPr>
  </w:style>
  <w:style w:type="character" w:customStyle="1" w:styleId="FooterChar">
    <w:name w:val="Footer Char"/>
    <w:basedOn w:val="DefaultParagraphFont"/>
    <w:link w:val="Footer"/>
    <w:uiPriority w:val="99"/>
    <w:rsid w:val="00F74050"/>
    <w:rPr>
      <w:sz w:val="24"/>
      <w:szCs w:val="28"/>
      <w:lang w:val="en-US"/>
    </w:rPr>
  </w:style>
  <w:style w:type="paragraph" w:styleId="Header">
    <w:name w:val="header"/>
    <w:basedOn w:val="Normal"/>
    <w:link w:val="HeaderChar"/>
    <w:uiPriority w:val="99"/>
    <w:unhideWhenUsed/>
    <w:rsid w:val="00F74050"/>
    <w:pPr>
      <w:tabs>
        <w:tab w:val="center" w:pos="4513"/>
        <w:tab w:val="right" w:pos="9026"/>
      </w:tabs>
    </w:pPr>
  </w:style>
  <w:style w:type="character" w:customStyle="1" w:styleId="HeaderChar">
    <w:name w:val="Header Char"/>
    <w:basedOn w:val="DefaultParagraphFont"/>
    <w:link w:val="Header"/>
    <w:uiPriority w:val="99"/>
    <w:rsid w:val="00F74050"/>
    <w:rPr>
      <w:sz w:val="24"/>
      <w:szCs w:val="28"/>
      <w:lang w:val="en-US"/>
    </w:rPr>
  </w:style>
  <w:style w:type="paragraph" w:styleId="BodyText">
    <w:name w:val="Body Text"/>
    <w:basedOn w:val="Normal"/>
    <w:link w:val="BodyTextChar"/>
    <w:uiPriority w:val="99"/>
    <w:unhideWhenUsed/>
    <w:rsid w:val="00F74050"/>
  </w:style>
  <w:style w:type="character" w:customStyle="1" w:styleId="BodyTextChar">
    <w:name w:val="Body Text Char"/>
    <w:basedOn w:val="DefaultParagraphFont"/>
    <w:link w:val="BodyText"/>
    <w:uiPriority w:val="99"/>
    <w:rsid w:val="00F74050"/>
    <w:rPr>
      <w:sz w:val="24"/>
      <w:szCs w:val="28"/>
      <w:lang w:val="en-US"/>
    </w:rPr>
  </w:style>
  <w:style w:type="character" w:styleId="Hyperlink">
    <w:name w:val="Hyperlink"/>
    <w:basedOn w:val="DefaultParagraphFont"/>
    <w:uiPriority w:val="99"/>
    <w:unhideWhenUsed/>
    <w:rsid w:val="00F74050"/>
    <w:rPr>
      <w:color w:val="0563C1" w:themeColor="hyperlink"/>
      <w:u w:val="single"/>
    </w:rPr>
  </w:style>
  <w:style w:type="paragraph" w:styleId="ListParagraph">
    <w:name w:val="List Paragraph"/>
    <w:basedOn w:val="Normal"/>
    <w:uiPriority w:val="34"/>
    <w:qFormat/>
    <w:rsid w:val="00F74050"/>
    <w:pPr>
      <w:ind w:left="720"/>
      <w:contextualSpacing/>
    </w:pPr>
  </w:style>
  <w:style w:type="paragraph" w:customStyle="1" w:styleId="Default">
    <w:name w:val="Default"/>
    <w:rsid w:val="00F74050"/>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bi.org.in/Scripts/NotificationUser.aspx?Id=2196&amp;Mode=0"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rbidocs.rbi.org.in/rdocs/notification/PDFs/NOTI170F341D8DE49C04D4B8382D855A9858583.PDF" TargetMode="External"/><Relationship Id="rId12" Type="http://schemas.openxmlformats.org/officeDocument/2006/relationships/hyperlink" Target="mailto:sumes.dewan@lexfavios.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ebi.gov.in/legal/circulars/mar-2020/amendments-to-guidelines-for-rights-issue-preferential-issue-and-institutional-placement-of-units-by-a-listed-invit_46311.html"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mca.gov.in/Ministry/pdf/BankingNotification_11032020.pdf" TargetMode="External"/><Relationship Id="rId4" Type="http://schemas.openxmlformats.org/officeDocument/2006/relationships/webSettings" Target="webSettings.xml"/><Relationship Id="rId9" Type="http://schemas.openxmlformats.org/officeDocument/2006/relationships/hyperlink" Target="https://rbidocs.rbi.org.in/rdocs/notification/PDFs/NT17144DF8BCA29824951B879D5B34668767A.PDF"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TotalTime>
  <Pages>4</Pages>
  <Words>744</Words>
  <Characters>4243</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Lex Favios</dc:creator>
  <cp:keywords/>
  <dc:description/>
  <cp:lastModifiedBy>Lex Favios</cp:lastModifiedBy>
  <cp:revision>2</cp:revision>
  <dcterms:created xsi:type="dcterms:W3CDTF">2020-03-14T08:56:00Z</dcterms:created>
  <dcterms:modified xsi:type="dcterms:W3CDTF">2020-03-14T10:19:00Z</dcterms:modified>
</cp:coreProperties>
</file>